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b/>
          <w:color w:val="16464B"/>
          <w:sz w:val="18"/>
        </w:rPr>
        <w:t>GUIA DE ESTUDO AUTÔNOMO · EDIÇÃO 6.4</w:t>
      </w:r>
    </w:p>
    <w:p>
      <w:pPr>
        <w:pStyle w:val="Heading1"/>
      </w:pPr>
      <w:r>
        <w:t>Do LLM ao sistema agêntico</w:t>
      </w:r>
    </w:p>
    <w:p>
      <w:r>
        <w:t>Como um modelo de linguagem colabora com um coordenador, um RAG documental e ferramentas para realizar uma tarefa.</w:t>
      </w:r>
    </w:p>
    <w:p>
      <w:r>
        <w:t>Inteligência Artificial · Prof. Francisco Javier Ropero Peláez · UFABC</w:t>
      </w:r>
    </w:p>
    <w:p>
      <w:pPr>
        <w:keepLines/>
        <w:spacing w:before="120" w:after="180"/>
        <w:shd w:fill="EEF4F3"/>
      </w:pPr>
      <w:r>
        <w:rPr>
          <w:color w:val="16464B"/>
          <w:sz w:val="20"/>
        </w:rPr>
        <w:t>Ideia central: o modelo interpreta e propõe; o coordenador verifica e encaminha; a ferramenta executa; o resultado volta ao modelo. A pessoa define os objetivos, os limites e a revisão.</w:t>
      </w:r>
    </w:p>
    <w:p>
      <w:pPr>
        <w:pStyle w:val="Heading2"/>
      </w:pPr>
      <w:r>
        <w:t>Comece pelo conjunto, não por uma coleção de siglas</w:t>
      </w:r>
    </w:p>
    <w:p>
      <w:r>
        <w:t>Imagine uma pessoa que já usa um modelo de linguagem e quer investigar uma questão. O modelo pode organizar ideias e sugerir um plano, mas não recebe automaticamente seus documentos, não dispõe de todos os instrumentos de cálculo e não adquire permissão para alterar arquivos só por escrever uma instrução. O aplicativo acrescenta essas capacidades por meio de componentes de software.</w:t>
      </w:r>
    </w:p>
    <w:p>
      <w:r>
        <w:t>O LLM é uma peça do sistema, frequentemente baseada na arquitetura Transformer. A passagem para um sistema agêntico não exige transformar os pesos da rede em um novo tipo de programa. O que muda é a organização externa: suas propostas podem selecionar operações permitidas, e as observações dessas operações alimentam decisões seguintes. [T1, T2]</w:t>
      </w:r>
    </w:p>
    <w:p>
      <w:pPr>
        <w:pStyle w:val="CodeBlock"/>
        <w:shd w:fill="F3F5F7"/>
      </w:pPr>
      <w:r>
        <w:t>Pessoa: objetivo e limites</w:t>
        <w:br/>
        <w:t xml:space="preserve">             ↓</w:t>
        <w:br/>
        <w:t>Coordenador ↔ LLM</w:t>
        <w:br/>
        <w:t xml:space="preserve">      ↕</w:t>
        <w:br/>
        <w:t>Ferramentas · recuperação · dados · estado</w:t>
        <w:br/>
        <w:t xml:space="preserve">             ↓</w:t>
        <w:br/>
        <w:t>Observações → coordenador → LLM → próxima ação ou resposta</w:t>
      </w:r>
    </w:p>
    <w:p>
      <w:r>
        <w:t>O desenho mostra responsabilidades, não a localização física dos componentes. Modelo e ferramentas podem funcionar em computadores diferentes. Nenhum dos módulos precisa estar dentro de uma cabeça de atenção.</w:t>
      </w:r>
    </w:p>
    <w:p>
      <w:pPr>
        <w:pStyle w:val="Heading2"/>
      </w:pPr>
      <w:r>
        <w:t>O que você aprenderá</w:t>
      </w:r>
    </w:p>
    <w:p>
      <w:r>
        <w:t>Distinguir texto de ação; acompanhar uma ida e uma volta completas; interpretar JSON; compreender RAG e recuperação documental; separar memória de projeto de parâmetros do modelo; e explicar quem controla a execução.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1 · ARQUITETURA GERAL</w:t>
      </w:r>
    </w:p>
    <w:p>
      <w:pPr>
        <w:pStyle w:val="Heading1"/>
      </w:pPr>
      <w:r>
        <w:t>Cada componente resolve uma necessidade</w:t>
      </w:r>
    </w:p>
    <w:p>
      <w:r>
        <w:t>Começamos com o LLM e acrescentamos componentes somente quando uma necessidade aparece. Esta é uma organização possível, não uma lista obrigatória para toda aplicação. [T1]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</w:trPr>
        <w:tc>
          <w:tcPr>
            <w:tcW w:type="dxa" w:w="2948"/>
            <w:shd w:fill="16464B"/>
          </w:tcPr>
          <w:p>
            <w:pPr>
              <w:spacing w:after="100" w:before="80" w:line="254" w:lineRule="auto"/>
            </w:pPr>
            <w:r>
              <w:rPr>
                <w:b/>
                <w:color w:val="FFFFFF"/>
                <w:sz w:val="20"/>
              </w:rPr>
              <w:t>Necessidade</w:t>
            </w:r>
          </w:p>
        </w:tc>
        <w:tc>
          <w:tcPr>
            <w:tcW w:type="dxa" w:w="6690"/>
            <w:shd w:fill="16464B"/>
          </w:tcPr>
          <w:p>
            <w:pPr>
              <w:spacing w:after="100" w:before="80" w:line="254" w:lineRule="auto"/>
            </w:pPr>
            <w:r>
              <w:rPr>
                <w:b/>
                <w:color w:val="FFFFFF"/>
                <w:sz w:val="20"/>
              </w:rPr>
              <w:t>Componente e responsabilidade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Receber o objetivo e mostrar o andamento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Interface: formulário, chat, botões e apresentação do resultado.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Informar o que está disponível agora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Preparação de contexto: reúne instruções, objetivo, contratos e observações pertinentes.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Interpretar o objetivo e propor o próximo passo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LLM: produz uma mensagem; pode selecionar uma ação dentre as oferecidas.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Controlar a execução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Coordenador: interpreta a proposta, verifica formato, argumentos e permissões, chama a função e registra sua saída.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Obter informações fora da mensagem atual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Recuperação: busca e seleciona trechos com procedência em uma coleção.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Realizar uma operação verificável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Ferramenta: calcula, lê dados estruturados ou executa uma operação autorizada.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Continuar sem perder o andamento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Estado e persistência: guardam resultados, decisões, pendências e registros.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Evitar ações indevidas e avaliar o resultado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Validação e revisão: aplicam restrições do software e decisões humanas.</w:t>
            </w:r>
          </w:p>
        </w:tc>
      </w:tr>
    </w:tbl>
    <w:p>
      <w:pPr>
        <w:spacing w:after="0"/>
      </w:pPr>
    </w:p>
    <w:p>
      <w:pPr>
        <w:pStyle w:val="Heading2"/>
      </w:pPr>
      <w:r>
        <w:t>O planejador e o coordenador não são a mesma coisa</w:t>
      </w:r>
    </w:p>
    <w:p>
      <w:r>
        <w:t>Neste arranjo, o modelo pode propor uma sequência sem controlar diretamente a máquina. O coordenador é o código que decide se uma proposta é executável e autorizada. Um planejador pode ser o próprio LLM ou um componente adicional; não precisa existir como módulo separado em todo sistema.</w:t>
      </w:r>
    </w:p>
    <w:p>
      <w:pPr>
        <w:keepLines/>
        <w:spacing w:before="120" w:after="180"/>
        <w:shd w:fill="EEF4F3"/>
      </w:pPr>
      <w:r>
        <w:rPr>
          <w:color w:val="16464B"/>
          <w:sz w:val="20"/>
        </w:rPr>
        <w:t>O modelo não ganha uma ferramenta nova porque inventou seu nome. A aplicação precisa oferecer essa operação, implementar seu comportamento e permitir seu uso.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2 · DO TEXTO AO CICLO</w:t>
      </w:r>
    </w:p>
    <w:p>
      <w:pPr>
        <w:pStyle w:val="Heading1"/>
      </w:pPr>
      <w:r>
        <w:t>Uma consulta pode exigir várias voltas</w:t>
      </w:r>
    </w:p>
    <w:p>
      <w:r>
        <w:t>A primeira resposta do modelo pode não ser a resposta ao usuário. Ela pode solicitar uma busca ou um cálculo. Depois da execução, o modelo precisa receber a observação para decidir se já pode concluir ou se necessita de outra operação. [T2]</w:t>
      </w:r>
    </w:p>
    <w:p>
      <w:pPr>
        <w:keepLines/>
        <w:ind w:left="255" w:hanging="255"/>
      </w:pPr>
      <w:r>
        <w:t>1. A pessoa formula um objetivo. O coordenador prepara a mensagem com as informações disponíveis e as ações permitidas.</w:t>
      </w:r>
    </w:p>
    <w:p>
      <w:pPr>
        <w:keepLines/>
        <w:ind w:left="255" w:hanging="255"/>
      </w:pPr>
      <w:r>
        <w:t>2. O modelo interpreta a mensagem e propõe uma ação estruturada.</w:t>
      </w:r>
    </w:p>
    <w:p>
      <w:pPr>
        <w:keepLines/>
        <w:ind w:left="255" w:hanging="255"/>
      </w:pPr>
      <w:r>
        <w:t>3. O coordenador verifica a proposta. Uma proposta recusada não deve ser apresentada como executada.</w:t>
      </w:r>
    </w:p>
    <w:p>
      <w:pPr>
        <w:keepLines/>
        <w:ind w:left="255" w:hanging="255"/>
      </w:pPr>
      <w:r>
        <w:t>4. Uma ferramenta aceita recebe os argumentos e devolve dados ou um erro.</w:t>
      </w:r>
    </w:p>
    <w:p>
      <w:pPr>
        <w:keepLines/>
        <w:ind w:left="255" w:hanging="255"/>
      </w:pPr>
      <w:r>
        <w:t>5. O coordenador registra a observação e a inclui no próximo contexto enviado ao modelo.</w:t>
      </w:r>
    </w:p>
    <w:p>
      <w:pPr>
        <w:keepLines/>
        <w:ind w:left="255" w:hanging="255"/>
      </w:pPr>
      <w:r>
        <w:t>6. O modelo usa o resultado para propor outra operação ou redigir a resposta final. O ciclo também pode parar por erro, limite de passos ou decisão humana.</w:t>
      </w:r>
    </w:p>
    <w:p>
      <w:pPr>
        <w:pStyle w:val="Heading2"/>
      </w:pPr>
      <w:r>
        <w:t>Resultado intermediário não é resposta final</w:t>
      </w:r>
    </w:p>
    <w:p>
      <w:r>
        <w:t>Recuperar quatro fontes significa que o buscador terminou uma operação. Elas podem ser fichas curadas, notas locais ou fragmentos do corpus RAG. Isso não significa que o modelo recebeu o livro inteiro nem que já respondeu à pergunta. Da mesma forma, obter três ângulos é uma saída de cálculo; explicá-los à pessoa é outra etapa.</w:t>
      </w:r>
    </w:p>
    <w:p>
      <w:pPr>
        <w:pStyle w:val="Heading2"/>
      </w:pPr>
      <w:r>
        <w:t>Onde entra o mensageiro?</w:t>
      </w:r>
    </w:p>
    <w:p>
      <w:r>
        <w:t>Imagine um general fora do quartel: recebe relatórios por um mensageiro, devolve uma orientação, a equipe executa e envia um novo relatório. Na analogia, o LLM propõe; o aluno transporta; o coordenador verifica; as ferramentas executam. O modelo não é uma autoridade infalível: o usuário e as regras do aplicativo conservam o controle.</w:t>
      </w:r>
    </w:p>
    <w:p>
      <w:r>
        <w:t>Na ponte manual, copiar e colar realiza o transporte que uma integração programática poderia automatizar. A necessidade do mensageiro decorre da ausência dessa conexão, não simplesmente de o modelo ser remoto. Um modelo remoto pode estar integrado; um modelo local também precisa de uma interface de comunicação.</w:t>
      </w:r>
    </w:p>
    <w:p>
      <w:pPr>
        <w:keepLines/>
        <w:spacing w:before="120" w:after="180"/>
        <w:shd w:fill="EEF4F3"/>
      </w:pPr>
      <w:r>
        <w:rPr>
          <w:color w:val="16464B"/>
          <w:sz w:val="20"/>
        </w:rPr>
        <w:t>Não há um número universal de voltas. Uma pergunta pode encerrar rapidamente; outra exige busca, leitura de dados, cálculo e revisão. A aplicação precisa estabelecer condições de parada.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3 · O CONTRATO</w:t>
      </w:r>
    </w:p>
    <w:p>
      <w:pPr>
        <w:pStyle w:val="Heading1"/>
      </w:pPr>
      <w:r>
        <w:t>JSON descreve uma proposta; não a executa</w:t>
      </w:r>
    </w:p>
    <w:p>
      <w:r>
        <w:t>JSON é um formato de intercâmbio de dados: objetos contêm pares de nomes e valores. Aspas duplas delimitam textos; chaves delimitam objetos. O formato não define o significado de buscar_fontes ou finalizar: isso pertence ao contrato do aplicativo. [T3]</w:t>
      </w:r>
    </w:p>
    <w:p>
      <w:pPr>
        <w:pStyle w:val="CodeBlock"/>
        <w:shd w:fill="F3F5F7"/>
      </w:pPr>
      <w:r>
        <w:t>{</w:t>
        <w:br/>
        <w:t xml:space="preserve">  "acao": "buscar_fontes",</w:t>
        <w:br/>
        <w:t xml:space="preserve">  "argumentos": {</w:t>
        <w:br/>
        <w:t xml:space="preserve">    "consulta": "personagens principais papel"</w:t>
        <w:br/>
        <w:t xml:space="preserve">  }</w:t>
        <w:br/>
        <w:t>}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</w:trPr>
        <w:tc>
          <w:tcPr>
            <w:tcW w:type="dxa" w:w="2948"/>
            <w:shd w:fill="16464B"/>
          </w:tcPr>
          <w:p>
            <w:pPr>
              <w:spacing w:after="100" w:before="80" w:line="254" w:lineRule="auto"/>
            </w:pPr>
            <w:r>
              <w:rPr>
                <w:b/>
                <w:color w:val="FFFFFF"/>
                <w:sz w:val="20"/>
              </w:rPr>
              <w:t>Parte</w:t>
            </w:r>
          </w:p>
        </w:tc>
        <w:tc>
          <w:tcPr>
            <w:tcW w:type="dxa" w:w="6690"/>
            <w:shd w:fill="16464B"/>
          </w:tcPr>
          <w:p>
            <w:pPr>
              <w:spacing w:after="100" w:before="80" w:line="254" w:lineRule="auto"/>
            </w:pPr>
            <w:r>
              <w:rPr>
                <w:b/>
                <w:color w:val="FFFFFF"/>
                <w:sz w:val="20"/>
              </w:rPr>
              <w:t>Leitura do exemplo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acao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Solicitar a operação de busca cujo nome é buscar_fontes.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argumentos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Entregar os parâmetros exigidos por essa operação.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consulta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Usar estes termos na busca; não é uma lista de resultados.</w:t>
            </w:r>
          </w:p>
        </w:tc>
      </w:tr>
    </w:tbl>
    <w:p>
      <w:pPr>
        <w:spacing w:after="0"/>
      </w:pPr>
    </w:p>
    <w:p>
      <w:pPr>
        <w:pStyle w:val="Heading2"/>
      </w:pPr>
      <w:r>
        <w:t>Três mensagens diferentes</w:t>
      </w:r>
    </w:p>
    <w:p>
      <w:r>
        <w:t>O contexto de ida inclui instruções, objetivo, ações permitidas e observações; pode conter JSON, mas não é necessariamente um único objeto JSON. A proposta de volta obedece ao contrato da ação. A observação é o retorno da função realmente executada. Confundir esses três elementos pode produzir repetições ou respostas sem fundamento.</w:t>
      </w:r>
    </w:p>
    <w:p>
      <w:pPr>
        <w:pStyle w:val="Heading2"/>
      </w:pPr>
      <w:r>
        <w:t>Validações antes de executar</w:t>
      </w:r>
    </w:p>
    <w:p>
      <w:r>
        <w:t>Primeiro, o texto precisa ser JSON válido. Depois, a ação precisa existir, os campos precisam corresponder ao contrato e os dados devem respeitar os limites da operação. Por fim, é necessário verificar se a execução é permitida naquele estado. Formato correto não garante uma decisão apropriada.</w:t>
      </w:r>
    </w:p>
    <w:p>
      <w:pPr>
        <w:keepLines/>
        <w:spacing w:before="120" w:after="180"/>
        <w:shd w:fill="EEF4F3"/>
      </w:pPr>
      <w:r>
        <w:rPr>
          <w:color w:val="16464B"/>
          <w:sz w:val="20"/>
        </w:rPr>
        <w:t>Sublinhados não precisam de escape: escreva buscar_fontes, sem uma barra antes de _. Para representar uma aspa dupla dentro de um texto JSON, use o escape previsto pelo formato. Copie o objeto inteiro e mantenha todas as chaves de fechamento.</w:t>
      </w:r>
    </w:p>
    <w:p>
      <w:r>
        <w:t>Um JSON de backup e um JSON de ação podem ser igualmente válidos como formato, mas não são intercambiáveis. Cada um tem seu próprio contrato.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4 · DIÁLOGO COMENTADO / IDA</w:t>
      </w:r>
    </w:p>
    <w:p>
      <w:pPr>
        <w:pStyle w:val="Heading1"/>
      </w:pPr>
      <w:r>
        <w:t>Um pedido de alinhamento</w:t>
      </w:r>
    </w:p>
    <w:p>
      <w:r>
        <w:t>Exemplo operacional: uma pessoa fornece dois pontos e pede verificar se o eixo, prolongado nos dois sentidos, alcança uma região-alvo já configurada. Não estudaremos aqui a origem histórica do destino; o foco é a colaboração entre componentes. [I1]</w:t>
      </w:r>
    </w:p>
    <w:p>
      <w:pPr>
        <w:pStyle w:val="CodeBlock"/>
        <w:shd w:fill="F3F5F7"/>
      </w:pPr>
      <w:r>
        <w:t>Verifique o alinhamento nos dois sentidos.</w:t>
        <w:br/>
        <w:t>A: latitude 51.17930555555555; longitude -1.8253083333333333.</w:t>
        <w:br/>
        <w:t>B: latitude 51.17882972222222; longitude -1.8262194444444444.</w:t>
      </w:r>
    </w:p>
    <w:p>
      <w:r>
        <w:t>O contexto informa ao modelo que calcular_novo_alinhamento recebe um nome e os pontos a e b, cada qual com lat e lon. As coordenadas devem ser copiadas literalmente como texto; conversões e cálculos pertencem ao programa.</w:t>
      </w:r>
    </w:p>
    <w:p>
      <w:pPr>
        <w:pStyle w:val="Heading2"/>
      </w:pPr>
      <w:r>
        <w:t>Proposta que o modelo poderia devolver</w:t>
      </w:r>
    </w:p>
    <w:p>
      <w:pPr>
        <w:pStyle w:val="CodeBlock"/>
        <w:shd w:fill="F3F5F7"/>
      </w:pPr>
      <w:r>
        <w:t>{</w:t>
        <w:br/>
        <w:t xml:space="preserve">  "acao": "calcular_novo_alinhamento",</w:t>
        <w:br/>
        <w:t xml:space="preserve">  "argumentos": {</w:t>
        <w:br/>
        <w:t xml:space="preserve">    "nome": "Exemplo didático",</w:t>
        <w:br/>
        <w:t xml:space="preserve">    "a": {</w:t>
        <w:br/>
        <w:t xml:space="preserve">      "lat": "51.17930555555555",</w:t>
        <w:br/>
        <w:t xml:space="preserve">      "lon": "-1.8253083333333333"</w:t>
        <w:br/>
        <w:t xml:space="preserve">    },</w:t>
        <w:br/>
        <w:t xml:space="preserve">    "b": {</w:t>
        <w:br/>
        <w:t xml:space="preserve">      "lat": "51.17882972222222",</w:t>
        <w:br/>
        <w:t xml:space="preserve">      "lon": "-1.8262194444444444"</w:t>
        <w:br/>
        <w:t xml:space="preserve">    }</w:t>
        <w:br/>
        <w:t xml:space="preserve">  }</w:t>
        <w:br/>
        <w:t>}</w:t>
      </w:r>
    </w:p>
    <w:p>
      <w:r>
        <w:t>Leitura: “solicito calcular_novo_alinhamento com estes dois pontos”. O objeto não contém a conclusão de alinhamento. O modelo não declara que calculou nem substitui os valores fornecidos por medições de um catálogo.</w:t>
      </w:r>
    </w:p>
    <w:p>
      <w:pPr>
        <w:keepLines/>
        <w:spacing w:before="120" w:after="180"/>
        <w:shd w:fill="EEF4F3"/>
      </w:pPr>
      <w:r>
        <w:rPr>
          <w:color w:val="16464B"/>
          <w:sz w:val="20"/>
        </w:rPr>
        <w:t>Este JSON é um exemplo didático controlado, não o registro de uma consulta a um modelo durante a preparação do guia. Seus argumentos foram usados para testar a ferramenta de cálculo.</w:t>
      </w:r>
    </w:p>
    <w:p>
      <w:r>
        <w:t>A ausência de um argumento de destino é deliberada: neste contrato, a região-alvo é definida pela aplicação. A IA não pode mudar silenciosamente a área para obter outro resultado.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5 · DIÁLOGO COMENTADO / EXECUÇÃO</w:t>
      </w:r>
    </w:p>
    <w:p>
      <w:pPr>
        <w:pStyle w:val="Heading1"/>
      </w:pPr>
      <w:r>
        <w:t>O programa produz a observação</w:t>
      </w:r>
    </w:p>
    <w:p>
      <w:r>
        <w:t>Ao receber a proposta, o coordenador verifica a estrutura e encaminha a ação ao módulo de cálculo. A validação confere formatos, faixas permitidas e presença das quatro coordenadas na pergunta. Ela não verifica, por si só, se os pontos medidos representam o eixo físico correto. [I1]</w:t>
      </w:r>
    </w:p>
    <w:p>
      <w:r>
        <w:t>O programa converte as coordenadas para números, usa a região configurada e executa seus testes. Abaixo está um recorte fiel da saída obtida com os valores da página anterior; os demais campos foram omitidos somente para a leitura.</w:t>
      </w:r>
    </w:p>
    <w:p>
      <w:pPr>
        <w:pStyle w:val="CodeBlock"/>
        <w:shd w:fill="F3F5F7"/>
      </w:pPr>
      <w:r>
        <w:t>{</w:t>
        <w:br/>
        <w:t xml:space="preserve">  "resultado": "cruza_interior",</w:t>
        <w:br/>
        <w:t xml:space="preserve">  "eixo_cruza_regiao": true,</w:t>
        <w:br/>
        <w:t xml:space="preserve">  "cruza_interior": true,</w:t>
        <w:br/>
        <w:t xml:space="preserve">  "apenas_limite": false,</w:t>
        <w:br/>
        <w:t xml:space="preserve">  "sentidos": {</w:t>
        <w:br/>
        <w:t xml:space="preserve">    "A_para_B": {</w:t>
        <w:br/>
        <w:t xml:space="preserve">      "cruza_regiao": true,</w:t>
        <w:br/>
        <w:t xml:space="preserve">      "cruza_interior": true</w:t>
        <w:br/>
        <w:t xml:space="preserve">    },</w:t>
        <w:br/>
        <w:t xml:space="preserve">    "B_para_A": {</w:t>
        <w:br/>
        <w:t xml:space="preserve">      "cruza_regiao": false,</w:t>
        <w:br/>
        <w:t xml:space="preserve">      "cruza_interior": false</w:t>
        <w:br/>
        <w:t xml:space="preserve">    }</w:t>
        <w:br/>
        <w:t xml:space="preserve">  },</w:t>
        <w:br/>
        <w:t xml:space="preserve">  "teste_original_planilha": {</w:t>
        <w:br/>
        <w:t xml:space="preserve">    "A_para_B": {</w:t>
        <w:br/>
        <w:t xml:space="preserve">      "angulos": {</w:t>
        <w:br/>
        <w:t xml:space="preserve">        "alpha": 27.61794861983585,</w:t>
        <w:br/>
        <w:t xml:space="preserve">        "beta": 27.548971757013216,</w:t>
        <w:br/>
        <w:t xml:space="preserve">        "gamma": 27.57608895572885</w:t>
        <w:br/>
        <w:t xml:space="preserve">      }</w:t>
        <w:br/>
        <w:t xml:space="preserve">    }</w:t>
        <w:br/>
        <w:t xml:space="preserve">  }</w:t>
        <w:br/>
        <w:t>}</w:t>
      </w:r>
    </w:p>
    <w:p>
      <w:r>
        <w:t>A observação completa também conserva os pontos originais, os valores convertidos, o destino e os limites do método. Na rodada, o coordenador acrescenta o identificador CALC-NOVO-1 e a localização “Resultado da ferramenta nesta execução, etapa 1”.</w:t>
      </w:r>
    </w:p>
    <w:p>
      <w:pPr>
        <w:pStyle w:val="Heading2"/>
      </w:pPr>
      <w:r>
        <w:t>O que esses campos autorizam concluir?</w:t>
      </w:r>
    </w:p>
    <w:p>
      <w:r>
        <w:t>O eixo atravessa o interior da região pelo sentido A para B. O sentido B para A não a alcança. A análise trata longitude e latitude como coordenadas de um plano. Ela não é uma verificação geodésica e não determina a intenção de quem construiu uma avenida.</w:t>
      </w:r>
    </w:p>
    <w:p>
      <w:pPr>
        <w:keepLines/>
        <w:spacing w:before="120" w:after="180"/>
        <w:shd w:fill="EEF4F3"/>
      </w:pPr>
      <w:r>
        <w:rPr>
          <w:color w:val="16464B"/>
          <w:sz w:val="20"/>
        </w:rPr>
        <w:t>A observação precisa voltar ao modelo. Mostrar o resultado na tela da pessoa não o torna automaticamente visível ao LLM que está em outra aplicação.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6 · DIÁLOGO COMENTADO / VOLTA</w:t>
      </w:r>
    </w:p>
    <w:p>
      <w:pPr>
        <w:pStyle w:val="Heading1"/>
      </w:pPr>
      <w:r>
        <w:t>Interpretar sem alterar os números</w:t>
      </w:r>
    </w:p>
    <w:p>
      <w:r>
        <w:t>Depois de receber a observação, o modelo pode concluir. No contrato didático, a mensagem abaixo pede ao coordenador que apresente uma resposta final. Ela não solicita um segundo cálculo.</w:t>
      </w:r>
    </w:p>
    <w:p>
      <w:pPr>
        <w:pStyle w:val="CodeBlock"/>
        <w:shd w:fill="F3F5F7"/>
      </w:pPr>
      <w:r>
        <w:t>{</w:t>
        <w:br/>
        <w:t xml:space="preserve">  "acao": "finalizar",</w:t>
        <w:br/>
        <w:t xml:space="preserve">  "argumentos": {</w:t>
        <w:br/>
        <w:t xml:space="preserve">    "texto": "O eixo cruza o interior da região-alvo no sentido A para B. No sentido B para A, não cruza. O ângulo gama do teste ABS é 27.57608895572885 graus. O resultado usa o plano longitude/latitude; não é um teste geodésico nem prova de intenção histórica. Fonte: CALC-NOVO-1, resultado da ferramenta nesta execução, etapa 1."</w:t>
        <w:br/>
        <w:t xml:space="preserve">  }</w:t>
        <w:br/>
        <w:t>}</w:t>
      </w:r>
    </w:p>
    <w:p>
      <w:pPr>
        <w:pStyle w:val="Heading2"/>
      </w:pPr>
      <w:r>
        <w:t>Por que a resposta é diferente da primeira proposta?</w:t>
      </w:r>
    </w:p>
    <w:p>
      <w:r>
        <w:t>Na primeira volta, faltava o resultado: o modelo escolheu uma operação. Na segunda, já há uma observação: ele pode explicar seu significado. O coordenador recebe finalizar, encerra o ciclo e mostra argumentos.texto. A referência identifica a saída do programa, não um documento que o modelo supostamente teria lido.</w:t>
      </w:r>
    </w:p>
    <w:p>
      <w:pPr>
        <w:pStyle w:val="Heading2"/>
      </w:pPr>
      <w:r>
        <w:t>Dois testes não precisam significar a mesma coisa</w:t>
      </w:r>
    </w:p>
    <w:p>
      <w:r>
        <w:t>Neste exemplo, o módulo também preserva um critério angular com valores absolutos e um teste de interseção que distingue as direções. O teste ABS devolve verdadeiro para o intervalo em ambas as orientações; a interseção direcional encontra a região somente de A para B. Não há contradição sobre o eixo: os testes preservam informações diferentes. [I1]</w:t>
      </w:r>
    </w:p>
    <w:p>
      <w:r>
        <w:t>O LLM deve manter essa diferença e não transformar desvio angular em incerteza de medição. Se uma execução devolver apenas um erro, a resposta precisa dizer que o cálculo não foi concluído, e não inventar números ou atribuir o erro ao usuário sem investigação.</w:t>
      </w:r>
    </w:p>
    <w:p>
      <w:pPr>
        <w:keepLines/>
        <w:spacing w:before="120" w:after="180"/>
        <w:shd w:fill="EEF4F3"/>
      </w:pPr>
      <w:r>
        <w:rPr>
          <w:color w:val="16464B"/>
          <w:sz w:val="20"/>
        </w:rPr>
        <w:t>Pergunta de leitura: quem produziu as coordenadas, quem selecionou a ação, quem fez a conta, quem transportou os resultados e quem explicou a conclusão? São responsabilidades distintas.</w:t>
      </w:r>
    </w:p>
    <w:p>
      <w:r>
        <w:t>O mesmo padrão pode ser usado para ler uma tabela, verificar uma unidade, consultar um inventário ou preparar um rascunho. O instrumento muda; a separação entre proposta, execução e observação permanece.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7 · RECUPERAÇÃO E RAG</w:t>
      </w:r>
    </w:p>
    <w:p>
      <w:pPr>
        <w:pStyle w:val="Heading1"/>
      </w:pPr>
      <w:r>
        <w:t>Dar ao modelo o material de que ele precisa</w:t>
      </w:r>
    </w:p>
    <w:p>
      <w:r>
        <w:t>Uma pergunta sobre uma coleção particular não deve ser respondida apenas com associações gerais do modelo. Um recuperador seleciona trechos da coleção e os entrega como contexto; depois, o LLM gera a resposta usando esses trechos. Essa combinação é chamada de geração aumentada por recuperação, ou RAG (Retrieval-Augmented Generation). RAG não exige, por definição, embeddings: a recuperação pode ser lexical, vetorial ou híbrida. [T4]</w:t>
      </w:r>
    </w:p>
    <w:p>
      <w:pPr>
        <w:pStyle w:val="CodeBlock"/>
        <w:shd w:fill="F3F5F7"/>
      </w:pPr>
      <w:r>
        <w:t>Pergunta</w:t>
        <w:br/>
        <w:t xml:space="preserve">   ↓</w:t>
        <w:br/>
        <w:t>LLM propõe buscar_fontes</w:t>
        <w:br/>
        <w:t xml:space="preserve">   ↓</w:t>
        <w:br/>
        <w:t>Coordenador → RAG local lexical</w:t>
        <w:br/>
        <w:t xml:space="preserve">   ↓</w:t>
        <w:br/>
        <w:t>fichas + fragmentos de W → até 4 resultados</w:t>
        <w:br/>
        <w:t xml:space="preserve">   ↓</w:t>
        <w:br/>
        <w:t>observação volta ao LLM → resposta fundamentada</w:t>
      </w:r>
    </w:p>
    <w:p>
      <w:pPr>
        <w:pStyle w:val="Heading2"/>
      </w:pPr>
      <w:r>
        <w:t>RAG não é treinar o modelo nem enviar o livro inteiro</w:t>
      </w:r>
    </w:p>
    <w:p>
      <w:r>
        <w:t>Na edição 6.4, a recuperação combina 71 fichas curadas com 130 fragmentos de duas páginas que cobrem as 260 páginas de W. O PDF original não é enviado ao LLM: a busca seleciona, no máximo, quatro resultados por chamada e somente esses resultados entram no contexto transportado. Acrescentar esse corpus não altera os pesos do Transformer.</w:t>
      </w:r>
    </w:p>
    <w:p>
      <w:r>
        <w:t>Nesta implementação, a recuperação é lexical e executada no navegador; não há embeddings nem banco vetorial. As fichas dão sínteses de alto nível e os fragmentos W-RAG funcionam como respaldo para detalhes não previstos nas fichas. A etapa de geração continua no LLM externo. Isso ilustra RAG sem reproduzir o recuperador denso nem o treinamento do artigo original. [T4, I1]</w:t>
      </w:r>
    </w:p>
    <w:p>
      <w:pPr>
        <w:pStyle w:val="Heading2"/>
      </w:pPr>
      <w:r>
        <w:t>Exemplo: quando uma ficha não basta</w:t>
      </w:r>
    </w:p>
    <w:p>
      <w:pPr/>
      <w:r>
        <w:t>Considere a pergunta: “Quais são as dimensões da Atlântida na novela W?”. Uma ficha temática pode não conter esse detalhe. O modelo pode então solicitar uma busca mais específica no corpus textual.</w:t>
      </w:r>
    </w:p>
    <w:p>
      <w:pPr>
        <w:pStyle w:val="CodeBlock"/>
      </w:pPr>
      <w:r>
        <w:t>{</w:t>
        <w:br/>
        <w:t xml:space="preserve">  "acao": "buscar_fontes",</w:t>
        <w:br/>
        <w:t xml:space="preserve">  "argumentos": {</w:t>
        <w:br/>
        <w:t xml:space="preserve">    "consulta": "Atlântida dimensões 3000 2000 estádios estádio egípcio"</w:t>
        <w:br/>
        <w:t xml:space="preserve">  }</w:t>
        <w:br/>
        <w:t>}</w:t>
      </w:r>
    </w:p>
    <w:p>
      <w:pPr/>
      <w:r>
        <w:t>Uma recuperação bem-sucedida pode devolver W-RAG-083-084, localizado em W, cap. 35, pp. 83–84. Nesse fragmento aparecem a planície oblonga de 3.000 × 2.000 estádios, a escolha narrativa do estádio egípcio de 209,2 m e a conversão para 627,6 × 418,4 km. O LLM recebe esse trecho e suas páginas; não recebe automaticamente as outras 258 páginas.</w:t>
      </w:r>
    </w:p>
    <w:p>
      <w:pPr>
        <w:pStyle w:val="CodeBlock"/>
      </w:pPr>
      <w:r>
        <w:t>{</w:t>
        <w:br/>
        <w:t xml:space="preserve">  "fontes": [</w:t>
        <w:br/>
        <w:t xml:space="preserve">    {</w:t>
        <w:br/>
        <w:t xml:space="preserve">      "id": "W-RAG-083-084",</w:t>
        <w:br/>
        <w:t xml:space="preserve">      "localizacao": "W, cap. 35, pp. 83–84",</w:t>
        <w:br/>
        <w:t xml:space="preserve">      "texto": "... 3000×2000 estádios ... 209,2 m ... 627,6×418,4 km ..."</w:t>
        <w:br/>
        <w:t xml:space="preserve">    }</w:t>
        <w:br/>
        <w:t xml:space="preserve">  ]</w:t>
        <w:br/>
        <w:t>}</w:t>
      </w:r>
    </w:p>
    <w:p>
      <w:pPr/>
      <w:r>
        <w:t>Esse segundo JSON é uma observação produzida pelo recuperador, não uma proposta do modelo. Na próxima volta, o modelo pode usar a evidência para responder e citar o fragmento. Esta separação entre decisão, recuperação e geração é o ponto central do RAG agêntico.</w:t>
      </w:r>
    </w:p>
    <w:p>
      <w:pPr>
        <w:pStyle w:val="Heading2"/>
      </w:pPr>
      <w:r>
        <w:t>Procedência e limites</w:t>
      </w:r>
    </w:p>
    <w:p>
      <w:r>
        <w:t>Uma ficha de leitura é uma síntese curada; um resultado W-RAG é um fragmento textual extraído do PDF, com páginas. Nenhum deles transforma uma fala de personagem em medição científica. Da mesma forma, uma referência bibliográfica não significa que o relatório citado foi consultado. Um sistema útil conserva essas diferenças nos metadados e na resposta.</w:t>
      </w:r>
    </w:p>
    <w:p>
      <w:pPr>
        <w:keepLines/>
        <w:spacing w:before="120" w:after="180"/>
        <w:shd w:fill="EEF4F3"/>
      </w:pPr>
      <w:r>
        <w:rPr>
          <w:color w:val="16464B"/>
          <w:sz w:val="20"/>
        </w:rPr>
        <w:t>Nenhum resultado encontrado significa “esta busca não recuperou informação entre os resultados selecionados”, não “a informação não existe no livro”. Termos, idioma, pontuação lexical e o limite de quatro retornos podem explicar a lacuna; refine a consulta antes de concluir ausência.</w:t>
      </w:r>
    </w:p>
    <w:p>
      <w:r>
        <w:t>A qualidade do sistema depende também da organização da base: nomes desambiguados, páginas, versões, fragmentação e metadados fiéis. As fichas e o corpus completo cumprem papéis complementares: uma interface bonita não compensa recuperação ruim ou atribuição incorreta.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8 · ESTADO E MEMÓRIA</w:t>
      </w:r>
    </w:p>
    <w:p>
      <w:pPr>
        <w:pStyle w:val="Heading1"/>
      </w:pPr>
      <w:r>
        <w:t>O que fica guardado e o que chega à rede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</w:trPr>
        <w:tc>
          <w:tcPr>
            <w:tcW w:type="dxa" w:w="2948"/>
            <w:shd w:fill="16464B"/>
          </w:tcPr>
          <w:p>
            <w:pPr>
              <w:spacing w:after="100" w:before="80" w:line="254" w:lineRule="auto"/>
            </w:pPr>
            <w:r>
              <w:rPr>
                <w:b/>
                <w:color w:val="FFFFFF"/>
                <w:sz w:val="20"/>
              </w:rPr>
              <w:t>Elemento</w:t>
            </w:r>
          </w:p>
        </w:tc>
        <w:tc>
          <w:tcPr>
            <w:tcW w:type="dxa" w:w="6690"/>
            <w:shd w:fill="16464B"/>
          </w:tcPr>
          <w:p>
            <w:pPr>
              <w:spacing w:after="100" w:before="80" w:line="254" w:lineRule="auto"/>
            </w:pPr>
            <w:r>
              <w:rPr>
                <w:b/>
                <w:color w:val="FFFFFF"/>
                <w:sz w:val="20"/>
              </w:rPr>
              <w:t>O que é e o que não é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Biblioteca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Coleção consultável de documentos ou fichas. Não é automaticamente o contexto de cada chamada.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Contexto da chamada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Mensagens e dados que o modelo recebe agora. Pode conter uma seleção do histórico e da biblioteca.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Estado da execução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Objetivo, etapa atual, resultados, erros e pendências. Permite decidir o próximo passo e evitar repetição.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Persistência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Gravação do estado para uso posterior. É diferente de manter uma tarefa executando.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Pesos do modelo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Parâmetros aprendidos no treinamento. Guardar uma nota no aplicativo não os modifica.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Registro de eventos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Evidência do que foi solicitado, aceito, executado e devolvido. Não é acesso ao raciocínio privado da rede.</w:t>
            </w:r>
          </w:p>
        </w:tc>
      </w:tr>
    </w:tbl>
    <w:p>
      <w:pPr>
        <w:spacing w:after="0"/>
      </w:pPr>
    </w:p>
    <w:p>
      <w:pPr>
        <w:pStyle w:val="Heading2"/>
      </w:pPr>
      <w:r>
        <w:t>Uma aplicação não é “a memória inteira da IA”</w:t>
      </w:r>
    </w:p>
    <w:p>
      <w:r>
        <w:t>O coordenador pode guardar muitos eventos e enviar somente alguns ao modelo. Isso reduz tamanho, mas pode perder detalhes se a seleção for mal feita. Reenviar o contexto atualizado é essencial quando o serviço externo não vê diretamente o estado do aplicativo.</w:t>
      </w:r>
    </w:p>
    <w:p>
      <w:pPr>
        <w:pStyle w:val="Heading2"/>
      </w:pPr>
      <w:r>
        <w:t>Local, remoto e persistente</w:t>
      </w:r>
    </w:p>
    <w:p>
      <w:r>
        <w:t>Armazenamento no navegador depende do aparelho, do navegador e da origem do site. Exportar um projeto cria uma cópia transportável; não sincroniza automaticamente outros usuários. Na implementação didática, fechar a página interrompe o trabalho, mesmo que o site continue publicado. [I1]</w:t>
      </w:r>
    </w:p>
    <w:p>
      <w:pPr>
        <w:keepLines/>
        <w:spacing w:before="120" w:after="180"/>
        <w:shd w:fill="EEF4F3"/>
      </w:pPr>
      <w:r>
        <w:rPr>
          <w:color w:val="16464B"/>
          <w:sz w:val="20"/>
        </w:rPr>
        <w:t>Contexto, arquivo salvo, histórico e parâmetros treinados não são sinônimos. Antes de dizer “a IA lembra”, identifique onde a informação está armazenada e como será recuperada.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9 · LIMITES E CONTROLE</w:t>
      </w:r>
    </w:p>
    <w:p>
      <w:pPr>
        <w:pStyle w:val="Heading1"/>
      </w:pPr>
      <w:r>
        <w:t>Ferramentas úteis exigem limites explícitos</w:t>
      </w:r>
    </w:p>
    <w:p>
      <w:r>
        <w:t>O LLM produz uma proposta que pode estar errada, incompleta ou fora do contrato. O coordenador não deve executar texto arbitrário como código. Deve aceitar apenas operações conhecidas com argumentos apropriados. A existência de uma mensagem bem escrita não cria autorização. [T2, T3]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</w:trPr>
        <w:tc>
          <w:tcPr>
            <w:tcW w:type="dxa" w:w="2948"/>
            <w:shd w:fill="16464B"/>
          </w:tcPr>
          <w:p>
            <w:pPr>
              <w:spacing w:after="100" w:before="80" w:line="254" w:lineRule="auto"/>
            </w:pPr>
            <w:r>
              <w:rPr>
                <w:b/>
                <w:color w:val="FFFFFF"/>
                <w:sz w:val="20"/>
              </w:rPr>
              <w:t>Situação</w:t>
            </w:r>
          </w:p>
        </w:tc>
        <w:tc>
          <w:tcPr>
            <w:tcW w:type="dxa" w:w="6690"/>
            <w:shd w:fill="16464B"/>
          </w:tcPr>
          <w:p>
            <w:pPr>
              <w:spacing w:after="100" w:before="80" w:line="254" w:lineRule="auto"/>
            </w:pPr>
            <w:r>
              <w:rPr>
                <w:b/>
                <w:color w:val="FFFFFF"/>
                <w:sz w:val="20"/>
              </w:rPr>
              <w:t>Conduta esperada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JSON truncado ou campos inesperados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Recusar a estrutura e indicar o problema; não completar silenciosamente valores importantes.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Coordenadas incompletas ou alteradas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Solicitar correção; não buscar um monumento parecido para substituir a entrada.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Ferramenta devolve erro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Registrar e devolver o erro ao modelo; distinguir falha de ausência de resultado.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Documento contém uma ordem para o agente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Tratar o documento como dado; suas frases não passam a substituir as instruções e permissões do aplicativo.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Ação repetida ou ciclo sem progresso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Usar histórico e limites de passos; encerrar ou pedir revisão humana.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Texto a publicar ou mudança irreversível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Exigir a autorização apropriada. Criar rascunho não é publicar.</w:t>
            </w:r>
          </w:p>
        </w:tc>
      </w:tr>
    </w:tbl>
    <w:p>
      <w:pPr>
        <w:spacing w:after="0"/>
      </w:pPr>
    </w:p>
    <w:p>
      <w:pPr>
        <w:pStyle w:val="Heading2"/>
      </w:pPr>
      <w:r>
        <w:t>A pessoa participa de mais de uma maneira</w:t>
      </w:r>
    </w:p>
    <w:p>
      <w:r>
        <w:t>Ela define o objetivo e julga a utilidade do resultado. Na ponte manual também é mensageira. Transportar mensagens não a obriga a alterar fórmulas ou inventar argumentos; a tarefa é levar o conteúdo completo e verificar se o próximo resultado corresponde ao pedido.</w:t>
      </w:r>
    </w:p>
    <w:p>
      <w:pPr>
        <w:pStyle w:val="Heading2"/>
      </w:pPr>
      <w:r>
        <w:t>Automatização não elimina a revisão</w:t>
      </w:r>
    </w:p>
    <w:p>
      <w:r>
        <w:t>Uma integração por API poderia automatizar a transmissão. Isso exige implementar a conexão e controlar autenticação, permissões, custos e tratamento de falhas. Automatizar o transporte não torna os dados verdadeiros nem torna desnecessário revisar uma conclusão.</w:t>
      </w:r>
    </w:p>
    <w:p>
      <w:pPr>
        <w:keepLines/>
        <w:spacing w:before="120" w:after="180"/>
        <w:shd w:fill="EEF4F3"/>
      </w:pPr>
      <w:r>
        <w:rPr>
          <w:color w:val="16464B"/>
          <w:sz w:val="20"/>
        </w:rPr>
        <w:t>A segurança não depende de pedir educadamente ao modelo que se comporte bem. Depende também do que o software permite executar e de quais dados e recursos disponibiliza.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10 · O QUE TORNA O SISTEMA AGÊNTICO?</w:t>
      </w:r>
    </w:p>
    <w:p>
      <w:pPr>
        <w:pStyle w:val="Heading1"/>
      </w:pPr>
      <w:r>
        <w:t>Escolher ações, observar e prosseguir</w:t>
      </w:r>
    </w:p>
    <w:p>
      <w:r>
        <w:t>Há um contínuo entre respostas textuais, fluxos com ferramentas e agentes. Um fluxo pode usar um LLM em uma etapa, mas manter a ordem das operações inteiramente programada. Em um arranjo agêntico, o modelo tem alguma margem para escolher ações e ajustar o percurso ao objetivo e às observações, sempre dentro das regras do aplicativo. [T1]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</w:trPr>
        <w:tc>
          <w:tcPr>
            <w:tcW w:type="dxa" w:w="2948"/>
            <w:shd w:fill="16464B"/>
          </w:tcPr>
          <w:p>
            <w:pPr>
              <w:spacing w:after="100" w:before="80" w:line="254" w:lineRule="auto"/>
            </w:pPr>
            <w:r>
              <w:rPr>
                <w:b/>
                <w:color w:val="FFFFFF"/>
                <w:sz w:val="20"/>
              </w:rPr>
              <w:t>Arranjo</w:t>
            </w:r>
          </w:p>
        </w:tc>
        <w:tc>
          <w:tcPr>
            <w:tcW w:type="dxa" w:w="6690"/>
            <w:shd w:fill="16464B"/>
          </w:tcPr>
          <w:p>
            <w:pPr>
              <w:spacing w:after="100" w:before="80" w:line="254" w:lineRule="auto"/>
            </w:pPr>
            <w:r>
              <w:rPr>
                <w:b/>
                <w:color w:val="FFFFFF"/>
                <w:sz w:val="20"/>
              </w:rPr>
              <w:t>Quem determina o próximo passo?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Chat sem ferramentas integradas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O modelo produz texto; a pessoa decide o que fazer fora do chat.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Fluxo fixo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O código determina a sequência. Um LLM pode redigir uma parte, sem escolher o fluxo.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Fluxo adaptativo por regras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Condições programadas escolhem caminhos. Isso não prova que um LLM participou.</w:t>
            </w:r>
          </w:p>
        </w:tc>
      </w:tr>
      <w:tr>
        <w:trPr>
          <w:cantSplit/>
        </w:trPr>
        <w:tc>
          <w:tcPr>
            <w:tcW w:type="dxa" w:w="2948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Ciclo agêntico com ferramentas</w:t>
            </w:r>
          </w:p>
        </w:tc>
        <w:tc>
          <w:tcPr>
            <w:tcW w:type="dxa" w:w="6690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O modelo propõe ações a partir do objetivo e das observações; o coordenador controla a execução.</w:t>
            </w:r>
          </w:p>
        </w:tc>
      </w:tr>
      <w:tr>
        <w:trPr>
          <w:cantSplit/>
        </w:trPr>
        <w:tc>
          <w:tcPr>
            <w:tcW w:type="dxa" w:w="2948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Vários agentes</w:t>
            </w:r>
          </w:p>
        </w:tc>
        <w:tc>
          <w:tcPr>
            <w:tcW w:type="dxa" w:w="6690"/>
            <w:shd w:fill="EEF4F3"/>
          </w:tcPr>
          <w:p>
            <w:pPr>
              <w:spacing w:after="100" w:before="80" w:line="254" w:lineRule="auto"/>
            </w:pPr>
            <w:r>
              <w:rPr>
                <w:sz w:val="20"/>
              </w:rPr>
              <w:t>Há mais de um componente com função de decisão/modelo. Não é o mesmo que ter várias funções auxiliares.</w:t>
            </w:r>
          </w:p>
        </w:tc>
      </w:tr>
    </w:tbl>
    <w:p>
      <w:pPr>
        <w:spacing w:after="0"/>
      </w:pPr>
    </w:p>
    <w:p>
      <w:pPr>
        <w:pStyle w:val="Heading2"/>
      </w:pPr>
      <w:r>
        <w:t>O exemplo manual é limitado, mas instrutivo</w:t>
      </w:r>
    </w:p>
    <w:p>
      <w:r>
        <w:t>O modelo externo participa de verdade quando recebe o contexto e produz a proposta; o transporte é manual. Por isso a atividade não demonstra autonomia contínua: depende de intervenção humana a cada troca. Um JSON fornecido previamente pelo docente demonstra o contrato, não demonstra uma decisão feita naquele momento por um LLM.</w:t>
      </w:r>
    </w:p>
    <w:p>
      <w:pPr>
        <w:pStyle w:val="Heading2"/>
      </w:pPr>
      <w:r>
        <w:t>Transfira para outro problema</w:t>
      </w:r>
    </w:p>
    <w:p>
      <w:r>
        <w:t>Para organizar um TCC, o primeiro instrumento pode ser a recuperação de fontes. Para conferir medições, pode ser uma calculadora. Para acompanhar um projeto, estado e tarefas são relevantes. Comece com um produto verificável e acrescente somente os módulos que reduzem uma limitação concreta.</w:t>
      </w:r>
    </w:p>
    <w:p>
      <w:pPr>
        <w:keepLines/>
        <w:spacing w:before="120" w:after="180"/>
        <w:shd w:fill="EEF4F3"/>
      </w:pPr>
      <w:r>
        <w:rPr>
          <w:color w:val="16464B"/>
          <w:sz w:val="20"/>
        </w:rPr>
        <w:t>Síntese: o comportamento agêntico pertence ao sistema modelo + contexto + controle + ferramentas + retorno. Não é uma propriedade adquirida por um texto JSON isolado.</w:t>
      </w:r>
    </w:p>
    <w:p>
      <w:r>
        <w:br w:type="page"/>
      </w:r>
    </w:p>
    <w:p>
      <w:pPr>
        <w:spacing w:after="140"/>
      </w:pPr>
      <w:r>
        <w:rPr>
          <w:b/>
          <w:color w:val="16464B"/>
          <w:sz w:val="18"/>
        </w:rPr>
        <w:t>REFERÊNCIAS E LEITURA FINAL</w:t>
      </w:r>
    </w:p>
    <w:p>
      <w:pPr>
        <w:pStyle w:val="Heading1"/>
      </w:pPr>
      <w:r>
        <w:t>Como conferir sua compreensão</w:t>
      </w:r>
    </w:p>
    <w:p>
      <w:pPr>
        <w:keepLines/>
        <w:ind w:left="255" w:hanging="255"/>
      </w:pPr>
      <w:r>
        <w:t>1. Explique a diferença entre propor uma ação e executá-la.</w:t>
      </w:r>
    </w:p>
    <w:p>
      <w:pPr>
        <w:keepLines/>
        <w:ind w:left="255" w:hanging="255"/>
      </w:pPr>
      <w:r>
        <w:t>2. Mostre onde uma saída de ferramenta entra no próximo contexto.</w:t>
      </w:r>
    </w:p>
    <w:p>
      <w:pPr>
        <w:keepLines/>
        <w:ind w:left="255" w:hanging="255"/>
      </w:pPr>
      <w:r>
        <w:t>3. Identifique quem calcula os números e quem os interpreta no diálogo.</w:t>
      </w:r>
    </w:p>
    <w:p>
      <w:pPr>
        <w:keepLines/>
        <w:ind w:left="255" w:hanging="255"/>
      </w:pPr>
      <w:r>
        <w:t>4. Explique por que acrescentar um corpus RAG não altera os pesos do modelo.</w:t>
      </w:r>
    </w:p>
    <w:p>
      <w:pPr>
        <w:keepLines/>
        <w:ind w:left="255" w:hanging="255"/>
      </w:pPr>
      <w:r>
        <w:t>5. Descreva uma situação em que o coordenador deve recusar uma proposta.</w:t>
      </w:r>
    </w:p>
    <w:p>
      <w:pPr>
        <w:keepLines/>
        <w:ind w:left="255" w:hanging="255"/>
      </w:pPr>
      <w:r>
        <w:t>6. Diferencie fluxo fixo, decisões por regras e escolhas de um LLM.</w:t>
      </w:r>
    </w:p>
    <w:p>
      <w:pPr>
        <w:keepLines/>
        <w:ind w:left="255" w:hanging="255"/>
      </w:pPr>
      <w:r>
        <w:t>7. Explique o que a ponte manual demonstra e o que ela não demonstra.</w:t>
      </w:r>
    </w:p>
    <w:p>
      <w:pPr>
        <w:pStyle w:val="Heading2"/>
      </w:pPr>
      <w:r>
        <w:t>Referências técnicas</w:t>
      </w:r>
    </w:p>
    <w:p>
      <w:r>
        <w:rPr>
          <w:sz w:val="18"/>
        </w:rPr>
        <w:t>[T1] Anthropic. Building effective agents (2024). Distinção entre fluxos programados e agentes; modelo ampliado por ferramentas, recuperação e memória. https://www.anthropic.com/research/building-effective-agents</w:t>
      </w:r>
    </w:p>
    <w:p>
      <w:r>
        <w:rPr>
          <w:sz w:val="18"/>
        </w:rPr>
        <w:t>[T2] OpenAI. Function calling. Documentação do ciclo em que o aplicativo executa a ferramenta e devolve sua saída ao modelo. https://developers.openai.com/api/docs/guides/function-calling</w:t>
      </w:r>
    </w:p>
    <w:p>
      <w:r>
        <w:rPr>
          <w:sz w:val="18"/>
        </w:rPr>
        <w:t>[T3] Bray, T. (ed.). RFC 8259: The JavaScript Object Notation (JSON) Data Interchange Format (2017). https://www.rfc-editor.org/rfc/rfc8259.html</w:t>
      </w:r>
    </w:p>
    <w:p>
      <w:r>
        <w:rPr>
          <w:sz w:val="18"/>
        </w:rPr>
        <w:t>[T4] Lewis, P. et al. Retrieval-Augmented Generation for Knowledge-Intensive NLP Tasks (2020). Artigo de referência; o exemplo manual deste material não reproduz o treinamento e o recuperador denso daquele trabalho. https://arxiv.org/abs/2005.11401</w:t>
      </w:r>
    </w:p>
    <w:p>
      <w:r>
        <w:rPr>
          <w:sz w:val="18"/>
        </w:rPr>
        <w:t>[I1] Implementação didática distribuída com este material, edição 6.4.0. Contratos das ações, RAG local lexical e saídas da calculadora. Os exemplos operacionais são específicos dessa implementação; não são comandos universais de um LLM.</w:t>
      </w:r>
    </w:p>
    <w:p>
      <w:r>
        <w:t>Documentação técnica consultada em 22/10/2026. Este guia combina explicação conceitual com exemplos controlados da implementação didática. A edição 6.4 usa 71 fichas curadas e 130 fragmentos RAG de W; as saídas numéricas do exemplo foram produzidas pelo programa, não por uma execução de modelo comercial durante a preparação.</w:t>
      </w:r>
    </w:p>
    <w:p>
      <w:pPr>
        <w:keepLines/>
        <w:spacing w:before="120" w:after="180"/>
        <w:shd w:fill="EEF4F3"/>
      </w:pPr>
      <w:r>
        <w:rPr>
          <w:color w:val="16464B"/>
          <w:sz w:val="20"/>
        </w:rPr>
        <w:t>Estude o mecanismo geral; use o guia de atividades para observar uma implementação concreta. O critério é conseguir explicar responsabilidades e evidências, não memorizar nomes de ferramentas.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Guia de estudo autônomo · Edição 6.4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1636B"/>
        <w:sz w:val="16"/>
      </w:rPr>
      <w:t>IA / MODELO • COORDENAÇÃO • FERRAMENTAS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1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80"/>
      <w:outlineLvl w:val="0"/>
    </w:pPr>
    <w:rPr>
      <w:rFonts w:asciiTheme="majorHAnsi" w:eastAsiaTheme="majorEastAsia" w:hAnsiTheme="majorHAnsi" w:cstheme="majorBidi" w:ascii="Calibri" w:hAnsi="Calibri"/>
      <w:b/>
      <w:bCs/>
      <w:color w:val="16464B"/>
      <w:sz w:val="4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80"/>
      <w:outlineLvl w:val="1"/>
    </w:pPr>
    <w:rPr>
      <w:rFonts w:asciiTheme="majorHAnsi" w:eastAsiaTheme="majorEastAsia" w:hAnsiTheme="majorHAnsi" w:cstheme="majorBidi" w:ascii="Calibri" w:hAnsi="Calibri"/>
      <w:b/>
      <w:bCs/>
      <w:color w:val="16464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8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6464B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widowControl/>
      <w:spacing w:after="140" w:line="271" w:lineRule="auto"/>
    </w:pPr>
    <w:rPr>
      <w:rFonts w:ascii="Calibri" w:hAnsi="Calibri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51636B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keepLines/>
      <w:spacing w:line="245" w:lineRule="auto" w:after="180"/>
    </w:pPr>
    <w:rPr>
      <w:rFonts w:ascii="DejaVu Sans Mono" w:hAnsi="DejaVu Sans Mono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 LLM ao sistema agêntico</dc:title>
  <dc:subject>Guia de estudo autônomo</dc:subject>
  <dc:creator>Francisco Javier Ropero Peláez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